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14638" w:type="dxa"/>
        <w:tblLook w:val="0420" w:firstRow="1" w:lastRow="0" w:firstColumn="0" w:lastColumn="0" w:noHBand="0" w:noVBand="1"/>
      </w:tblPr>
      <w:tblGrid>
        <w:gridCol w:w="4908"/>
        <w:gridCol w:w="9730"/>
      </w:tblGrid>
      <w:tr w:rsidR="001F408C" w:rsidRPr="00822530" w14:paraId="5A7CC05C" w14:textId="77777777" w:rsidTr="00506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5A7CC05A" w14:textId="31A76C3C" w:rsidR="001F408C" w:rsidRPr="00822530" w:rsidRDefault="001F408C" w:rsidP="001F408C">
            <w:pPr>
              <w:rPr>
                <w:rFonts w:eastAsia="Times New Roman" w:cstheme="minorHAnsi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FFFFFF" w:themeColor="light1"/>
                <w:kern w:val="24"/>
                <w:sz w:val="24"/>
                <w:szCs w:val="24"/>
              </w:rPr>
              <w:t>Completion</w:t>
            </w:r>
            <w:r w:rsidR="007B1EE4" w:rsidRPr="00822530">
              <w:rPr>
                <w:rFonts w:eastAsia="Times New Roman" w:cstheme="minorHAnsi"/>
                <w:color w:val="FFFFFF" w:themeColor="light1"/>
                <w:kern w:val="24"/>
                <w:sz w:val="24"/>
                <w:szCs w:val="24"/>
              </w:rPr>
              <w:t>/ Projected Completion</w:t>
            </w:r>
          </w:p>
        </w:tc>
        <w:tc>
          <w:tcPr>
            <w:tcW w:w="9730" w:type="dxa"/>
            <w:hideMark/>
          </w:tcPr>
          <w:p w14:paraId="5A7CC05B" w14:textId="77777777" w:rsidR="001F408C" w:rsidRPr="00822530" w:rsidRDefault="001F408C" w:rsidP="001F408C">
            <w:pPr>
              <w:rPr>
                <w:rFonts w:eastAsia="Times New Roman" w:cstheme="minorHAnsi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FFFFFF" w:themeColor="light1"/>
                <w:kern w:val="24"/>
                <w:sz w:val="24"/>
                <w:szCs w:val="24"/>
              </w:rPr>
              <w:t>TSCA Risk Evaluation Element</w:t>
            </w:r>
          </w:p>
        </w:tc>
      </w:tr>
      <w:tr w:rsidR="001F408C" w:rsidRPr="00822530" w14:paraId="5A7CC05F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4908" w:type="dxa"/>
            <w:hideMark/>
          </w:tcPr>
          <w:p w14:paraId="5A7CC05D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Released on March 20, 2019</w:t>
            </w:r>
          </w:p>
        </w:tc>
        <w:tc>
          <w:tcPr>
            <w:tcW w:w="9730" w:type="dxa"/>
            <w:hideMark/>
          </w:tcPr>
          <w:p w14:paraId="5A7CC05E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Preliminary TSCA High Priority Designation</w:t>
            </w:r>
          </w:p>
        </w:tc>
      </w:tr>
      <w:tr w:rsidR="001F408C" w:rsidRPr="00822530" w14:paraId="5A7CC063" w14:textId="77777777" w:rsidTr="00506CD6">
        <w:trPr>
          <w:trHeight w:val="618"/>
        </w:trPr>
        <w:tc>
          <w:tcPr>
            <w:tcW w:w="4908" w:type="dxa"/>
            <w:hideMark/>
          </w:tcPr>
          <w:p w14:paraId="5A7CC060" w14:textId="22D22B6C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December 2019</w:t>
            </w:r>
          </w:p>
        </w:tc>
        <w:tc>
          <w:tcPr>
            <w:tcW w:w="9730" w:type="dxa"/>
            <w:hideMark/>
          </w:tcPr>
          <w:p w14:paraId="5A7CC061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Final TSCA High Priority Designation</w:t>
            </w:r>
          </w:p>
          <w:p w14:paraId="5A7CC062" w14:textId="77777777" w:rsidR="001F408C" w:rsidRPr="00822530" w:rsidRDefault="001F408C" w:rsidP="00F5307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The Official Start of the Risk Evaluation Clock</w:t>
            </w:r>
          </w:p>
        </w:tc>
      </w:tr>
      <w:tr w:rsidR="001F408C" w:rsidRPr="00822530" w14:paraId="5A7CC068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tcW w:w="4908" w:type="dxa"/>
            <w:hideMark/>
          </w:tcPr>
          <w:p w14:paraId="5A7CC064" w14:textId="11F3C125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December 2019</w:t>
            </w:r>
          </w:p>
        </w:tc>
        <w:tc>
          <w:tcPr>
            <w:tcW w:w="9730" w:type="dxa"/>
            <w:hideMark/>
          </w:tcPr>
          <w:p w14:paraId="5A7CC065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Publication of a Preliminary List that Identifies Manufacturers</w:t>
            </w:r>
          </w:p>
          <w:p w14:paraId="271AB3A7" w14:textId="77777777" w:rsidR="00F5307C" w:rsidRPr="00822530" w:rsidRDefault="001F408C" w:rsidP="00F5307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 xml:space="preserve">Published at the time of Final High Priority Designation </w:t>
            </w:r>
          </w:p>
          <w:p w14:paraId="5A7CC067" w14:textId="180C335A" w:rsidR="001F408C" w:rsidRPr="00822530" w:rsidRDefault="001F408C" w:rsidP="00F5307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30 Day Public Comment Period</w:t>
            </w:r>
          </w:p>
        </w:tc>
      </w:tr>
      <w:tr w:rsidR="001F408C" w:rsidRPr="00822530" w14:paraId="5A7CC06D" w14:textId="77777777" w:rsidTr="00506CD6">
        <w:trPr>
          <w:trHeight w:val="618"/>
        </w:trPr>
        <w:tc>
          <w:tcPr>
            <w:tcW w:w="4908" w:type="dxa"/>
            <w:hideMark/>
          </w:tcPr>
          <w:p w14:paraId="5A7CC069" w14:textId="21569736" w:rsidR="001F408C" w:rsidRPr="00822530" w:rsidRDefault="007B1EE4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April</w:t>
            </w:r>
            <w:r w:rsidR="001F408C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6A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Draft TSCA Scoping Document</w:t>
            </w:r>
          </w:p>
          <w:p w14:paraId="5E09EB28" w14:textId="77777777" w:rsidR="00F5307C" w:rsidRPr="00822530" w:rsidRDefault="001F408C" w:rsidP="00F530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90 Days After Final High Priority Designation</w:t>
            </w:r>
          </w:p>
          <w:p w14:paraId="5A7CC06C" w14:textId="37EB6EE4" w:rsidR="001F408C" w:rsidRPr="00822530" w:rsidRDefault="001F408C" w:rsidP="00F530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45 Day Public Comment Period</w:t>
            </w:r>
          </w:p>
        </w:tc>
      </w:tr>
      <w:tr w:rsidR="001F408C" w:rsidRPr="00822530" w14:paraId="5A7CC071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5A7CC06E" w14:textId="2AD543A9" w:rsidR="001F408C" w:rsidRPr="00822530" w:rsidRDefault="007B1EE4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August</w:t>
            </w:r>
            <w:r w:rsidR="001F408C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6F" w14:textId="77777777" w:rsidR="001F408C" w:rsidRPr="00822530" w:rsidRDefault="001F408C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Final TSCA Scoping Document</w:t>
            </w:r>
          </w:p>
          <w:p w14:paraId="5A7CC070" w14:textId="77777777" w:rsidR="001F408C" w:rsidRPr="00822530" w:rsidRDefault="001F408C" w:rsidP="00F5307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180 Days After Final High Priority Designation</w:t>
            </w:r>
          </w:p>
        </w:tc>
      </w:tr>
      <w:tr w:rsidR="001F408C" w:rsidRPr="00822530" w14:paraId="5A7CC076" w14:textId="77777777" w:rsidTr="00506CD6">
        <w:trPr>
          <w:trHeight w:val="618"/>
        </w:trPr>
        <w:tc>
          <w:tcPr>
            <w:tcW w:w="4908" w:type="dxa"/>
            <w:hideMark/>
          </w:tcPr>
          <w:p w14:paraId="5A7CC072" w14:textId="37305986" w:rsidR="001F408C" w:rsidRPr="00822530" w:rsidRDefault="00071F9F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September</w:t>
            </w:r>
            <w:r w:rsidR="001F408C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2020</w:t>
            </w:r>
          </w:p>
        </w:tc>
        <w:tc>
          <w:tcPr>
            <w:tcW w:w="9730" w:type="dxa"/>
            <w:hideMark/>
          </w:tcPr>
          <w:p w14:paraId="5A7CC075" w14:textId="33CC9897" w:rsidR="001F408C" w:rsidRPr="00822530" w:rsidRDefault="001F408C" w:rsidP="00071F9F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Publication of a Final List of Manufacturers</w:t>
            </w:r>
            <w:r w:rsidR="00506CD6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Responsible for Payment</w:t>
            </w:r>
          </w:p>
        </w:tc>
      </w:tr>
      <w:tr w:rsidR="00C63FB3" w:rsidRPr="00822530" w14:paraId="5E49C9B2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  <w:hideMark/>
          </w:tcPr>
          <w:p w14:paraId="0AB9F797" w14:textId="192B9B14" w:rsidR="00C63FB3" w:rsidRPr="00822530" w:rsidRDefault="00C63FB3" w:rsidP="00742642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November 2020</w:t>
            </w:r>
          </w:p>
        </w:tc>
        <w:tc>
          <w:tcPr>
            <w:tcW w:w="9730" w:type="dxa"/>
            <w:hideMark/>
          </w:tcPr>
          <w:p w14:paraId="1B5C0033" w14:textId="77777777" w:rsidR="00C63FB3" w:rsidRPr="00822530" w:rsidRDefault="00C63FB3" w:rsidP="00742642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Payment of TSCA Risk Evaluation Fees</w:t>
            </w:r>
          </w:p>
          <w:p w14:paraId="33805BAD" w14:textId="77777777" w:rsidR="00C63FB3" w:rsidRPr="00822530" w:rsidRDefault="00C63FB3" w:rsidP="00F5307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2E74B5" w:themeColor="accent1" w:themeShade="BF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120 Days After Final Scoping Document</w:t>
            </w:r>
          </w:p>
        </w:tc>
      </w:tr>
      <w:tr w:rsidR="00C63FB3" w:rsidRPr="00822530" w14:paraId="39F90F93" w14:textId="77777777" w:rsidTr="00506CD6">
        <w:trPr>
          <w:trHeight w:val="618"/>
        </w:trPr>
        <w:tc>
          <w:tcPr>
            <w:tcW w:w="4908" w:type="dxa"/>
          </w:tcPr>
          <w:p w14:paraId="397A8546" w14:textId="11A58B95" w:rsidR="00C63FB3" w:rsidRPr="00822530" w:rsidRDefault="00C63FB3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June 2021</w:t>
            </w:r>
          </w:p>
        </w:tc>
        <w:tc>
          <w:tcPr>
            <w:tcW w:w="9730" w:type="dxa"/>
          </w:tcPr>
          <w:p w14:paraId="2C57A8F2" w14:textId="47ED1B8F" w:rsidR="00C63FB3" w:rsidRPr="00822530" w:rsidRDefault="00C63FB3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Publication of a Revised Final List of Manufacturers</w:t>
            </w:r>
            <w:r w:rsidR="00506CD6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Responsible for Payment</w:t>
            </w:r>
          </w:p>
        </w:tc>
      </w:tr>
      <w:tr w:rsidR="00F5307C" w:rsidRPr="00822530" w14:paraId="1CECCBD3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41E58BC2" w14:textId="2CE27274" w:rsidR="00F5307C" w:rsidRPr="00822530" w:rsidRDefault="00F5307C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June 2021</w:t>
            </w:r>
          </w:p>
        </w:tc>
        <w:tc>
          <w:tcPr>
            <w:tcW w:w="9730" w:type="dxa"/>
          </w:tcPr>
          <w:p w14:paraId="1E2F701D" w14:textId="022D1320" w:rsidR="00F5307C" w:rsidRPr="00822530" w:rsidRDefault="007F1E29" w:rsidP="00742642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Publication of TSCA Health and Safety Data Reporting Rule - Addition of 20 High-Priority Substances</w:t>
            </w:r>
          </w:p>
        </w:tc>
      </w:tr>
      <w:tr w:rsidR="007F1E29" w:rsidRPr="00822530" w14:paraId="1C08194F" w14:textId="77777777" w:rsidTr="00506CD6">
        <w:trPr>
          <w:trHeight w:val="618"/>
        </w:trPr>
        <w:tc>
          <w:tcPr>
            <w:tcW w:w="4908" w:type="dxa"/>
          </w:tcPr>
          <w:p w14:paraId="42FE75DF" w14:textId="48CA55E1" w:rsidR="007F1E29" w:rsidRPr="00822530" w:rsidRDefault="007F1E29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December 2021</w:t>
            </w:r>
          </w:p>
        </w:tc>
        <w:tc>
          <w:tcPr>
            <w:tcW w:w="9730" w:type="dxa"/>
          </w:tcPr>
          <w:p w14:paraId="36FCD1C4" w14:textId="4011834E" w:rsidR="007F1E29" w:rsidRPr="00822530" w:rsidRDefault="007F1E29" w:rsidP="00742642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Submission Deadline for Unpublished Studies Pursuant to TSCA Health and Safety Data Reporting Rule</w:t>
            </w:r>
          </w:p>
        </w:tc>
      </w:tr>
      <w:tr w:rsidR="00C63FB3" w:rsidRPr="00822530" w14:paraId="4B16726B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747BD654" w14:textId="2FB4D00F" w:rsidR="00C63FB3" w:rsidRPr="00822530" w:rsidRDefault="00584FF4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  <w:highlight w:val="yellow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March 14, </w:t>
            </w:r>
            <w:proofErr w:type="gramStart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2024</w:t>
            </w:r>
            <w:proofErr w:type="gramEnd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730" w:type="dxa"/>
          </w:tcPr>
          <w:p w14:paraId="19DDC6DF" w14:textId="478FC677" w:rsidR="00F5307C" w:rsidRPr="00822530" w:rsidRDefault="00F5307C" w:rsidP="00F5307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Draft TSCA Risk Evaluation</w:t>
            </w:r>
            <w:r w:rsidR="00584FF4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Released </w:t>
            </w:r>
          </w:p>
          <w:p w14:paraId="4DDA4F06" w14:textId="10872EE6" w:rsidR="00F5307C" w:rsidRPr="00822530" w:rsidRDefault="00F5307C" w:rsidP="00F5307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60 Day Public Comment Period</w:t>
            </w:r>
          </w:p>
        </w:tc>
      </w:tr>
      <w:tr w:rsidR="005E5D0F" w:rsidRPr="00822530" w14:paraId="6CE3A702" w14:textId="77777777" w:rsidTr="00506CD6">
        <w:trPr>
          <w:trHeight w:val="618"/>
        </w:trPr>
        <w:tc>
          <w:tcPr>
            <w:tcW w:w="4908" w:type="dxa"/>
          </w:tcPr>
          <w:p w14:paraId="32AE0025" w14:textId="523C787D" w:rsidR="005E5D0F" w:rsidRPr="00822530" w:rsidRDefault="005E5D0F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May 7, </w:t>
            </w:r>
            <w:proofErr w:type="gramStart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202</w:t>
            </w:r>
            <w:r w:rsidR="00DA6569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4</w:t>
            </w:r>
            <w:proofErr w:type="gramEnd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730" w:type="dxa"/>
          </w:tcPr>
          <w:p w14:paraId="0D34D53C" w14:textId="77777777" w:rsidR="005E5D0F" w:rsidRPr="00822530" w:rsidRDefault="005E5D0F" w:rsidP="007F1E29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Virtual SACC Meeting on </w:t>
            </w:r>
            <w:r w:rsidR="00DA6569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Charge Questions </w:t>
            </w:r>
          </w:p>
          <w:p w14:paraId="584868A7" w14:textId="1BFD0116" w:rsidR="00DA6569" w:rsidRPr="00822530" w:rsidRDefault="00DA6569" w:rsidP="00DA656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>May 3</w:t>
            </w: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  <w:vertAlign w:val="superscript"/>
              </w:rPr>
              <w:t>rd</w:t>
            </w: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 xml:space="preserve"> comment deadline </w:t>
            </w:r>
          </w:p>
        </w:tc>
      </w:tr>
      <w:tr w:rsidR="00DA6569" w:rsidRPr="00822530" w14:paraId="4765E4AC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1EE82108" w14:textId="66C53063" w:rsidR="00DA6569" w:rsidRPr="00822530" w:rsidRDefault="009F557E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May 14, </w:t>
            </w:r>
            <w:proofErr w:type="gramStart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2024</w:t>
            </w:r>
            <w:proofErr w:type="gramEnd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730" w:type="dxa"/>
          </w:tcPr>
          <w:p w14:paraId="4A480147" w14:textId="23939054" w:rsidR="00DA6569" w:rsidRPr="00822530" w:rsidRDefault="00D93B5B" w:rsidP="007F1E29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Comment Deadline for Draft TSCA Risk Evaluation </w:t>
            </w:r>
            <w:r w:rsidR="009F557E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</w:p>
        </w:tc>
      </w:tr>
      <w:tr w:rsidR="009F557E" w:rsidRPr="00822530" w14:paraId="5C7233A1" w14:textId="77777777" w:rsidTr="00506CD6">
        <w:trPr>
          <w:trHeight w:val="618"/>
        </w:trPr>
        <w:tc>
          <w:tcPr>
            <w:tcW w:w="4908" w:type="dxa"/>
          </w:tcPr>
          <w:p w14:paraId="2172BE3A" w14:textId="6398DF4E" w:rsidR="009F557E" w:rsidRPr="00822530" w:rsidRDefault="009F557E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May 20-23, </w:t>
            </w:r>
            <w:proofErr w:type="gramStart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2024</w:t>
            </w:r>
            <w:proofErr w:type="gramEnd"/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730" w:type="dxa"/>
          </w:tcPr>
          <w:p w14:paraId="633F3BF7" w14:textId="77777777" w:rsidR="009F557E" w:rsidRPr="00822530" w:rsidRDefault="002075AC" w:rsidP="007F1E29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4-Day Virtual SACC Peer Review </w:t>
            </w:r>
          </w:p>
          <w:p w14:paraId="49F87A21" w14:textId="3DB8B771" w:rsidR="00D93B5B" w:rsidRPr="00822530" w:rsidRDefault="00D93B5B" w:rsidP="00D93B5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 xml:space="preserve">Opportunity for Public Comment </w:t>
            </w:r>
          </w:p>
        </w:tc>
      </w:tr>
      <w:tr w:rsidR="00C63FB3" w:rsidRPr="00822530" w14:paraId="5A7CC07A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5A7CC077" w14:textId="106AD54F" w:rsidR="00C63FB3" w:rsidRPr="00822530" w:rsidRDefault="00822530" w:rsidP="001F408C">
            <w:pPr>
              <w:rPr>
                <w:rFonts w:eastAsia="Times New Roman" w:cstheme="minorHAnsi"/>
                <w:color w:val="2E74B5" w:themeColor="accent1" w:themeShade="BF"/>
                <w:sz w:val="24"/>
                <w:szCs w:val="24"/>
                <w:highlight w:val="yellow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lastRenderedPageBreak/>
              <w:t xml:space="preserve">January 2025 </w:t>
            </w:r>
          </w:p>
        </w:tc>
        <w:tc>
          <w:tcPr>
            <w:tcW w:w="9730" w:type="dxa"/>
          </w:tcPr>
          <w:p w14:paraId="5A7CC079" w14:textId="365453C9" w:rsidR="00506CD6" w:rsidRPr="00822530" w:rsidRDefault="007F1E29" w:rsidP="00822530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Final TSCA Risk Evaluation</w:t>
            </w:r>
          </w:p>
        </w:tc>
      </w:tr>
      <w:tr w:rsidR="00822530" w:rsidRPr="00822530" w14:paraId="4622098B" w14:textId="77777777" w:rsidTr="00506CD6">
        <w:trPr>
          <w:trHeight w:val="618"/>
        </w:trPr>
        <w:tc>
          <w:tcPr>
            <w:tcW w:w="4908" w:type="dxa"/>
          </w:tcPr>
          <w:p w14:paraId="0FCE57D6" w14:textId="2885E511" w:rsidR="00822530" w:rsidRPr="00822530" w:rsidRDefault="00822530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December 2025 </w:t>
            </w:r>
          </w:p>
        </w:tc>
        <w:tc>
          <w:tcPr>
            <w:tcW w:w="9730" w:type="dxa"/>
          </w:tcPr>
          <w:p w14:paraId="1A7B0CC2" w14:textId="77777777" w:rsidR="00822530" w:rsidRPr="00822530" w:rsidRDefault="00822530" w:rsidP="00D706EE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Updated Draft Formaldehyde Risk Calculation Memorandum</w:t>
            </w:r>
          </w:p>
          <w:p w14:paraId="7A0C54E7" w14:textId="59DB9FB0" w:rsidR="00822530" w:rsidRPr="00822530" w:rsidRDefault="00822530" w:rsidP="008225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</w:pPr>
            <w:r w:rsidRPr="00822530">
              <w:rPr>
                <w:rFonts w:asciiTheme="minorHAnsi" w:hAnsiTheme="minorHAnsi" w:cstheme="minorHAnsi"/>
                <w:color w:val="2E74B5" w:themeColor="accent1" w:themeShade="BF"/>
                <w:kern w:val="24"/>
              </w:rPr>
              <w:t xml:space="preserve">60 Day Public Comment Period   </w:t>
            </w:r>
          </w:p>
        </w:tc>
      </w:tr>
      <w:tr w:rsidR="00822530" w:rsidRPr="00822530" w14:paraId="70FE21D6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1E9ED76B" w14:textId="5BC6BB1D" w:rsidR="00822530" w:rsidRPr="00822530" w:rsidRDefault="00822530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February 2026 </w:t>
            </w:r>
          </w:p>
        </w:tc>
        <w:tc>
          <w:tcPr>
            <w:tcW w:w="9730" w:type="dxa"/>
          </w:tcPr>
          <w:p w14:paraId="4EBAD805" w14:textId="524F8EFE" w:rsidR="00822530" w:rsidRPr="00822530" w:rsidRDefault="00822530" w:rsidP="00D706EE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Small Business Advocacy Review Panel </w:t>
            </w:r>
          </w:p>
        </w:tc>
      </w:tr>
      <w:tr w:rsidR="00D706EE" w:rsidRPr="00822530" w14:paraId="0F8A4172" w14:textId="77777777" w:rsidTr="00506CD6">
        <w:trPr>
          <w:trHeight w:val="618"/>
        </w:trPr>
        <w:tc>
          <w:tcPr>
            <w:tcW w:w="4908" w:type="dxa"/>
          </w:tcPr>
          <w:p w14:paraId="412D878F" w14:textId="120687F8" w:rsidR="00D706EE" w:rsidRPr="00822530" w:rsidRDefault="001946C9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Estimated </w:t>
            </w:r>
            <w:r w:rsidR="00C54ED8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by </w:t>
            </w:r>
            <w:r w:rsidR="00822530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May 2026 </w:t>
            </w:r>
          </w:p>
        </w:tc>
        <w:tc>
          <w:tcPr>
            <w:tcW w:w="9730" w:type="dxa"/>
          </w:tcPr>
          <w:p w14:paraId="0AB65291" w14:textId="303C3A0C" w:rsidR="00D706EE" w:rsidRPr="004C3B2B" w:rsidRDefault="00D706EE" w:rsidP="004C3B2B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Propose risk management rule(s) for any unreasonable risk determinations found in the final risk evaluation</w:t>
            </w:r>
          </w:p>
        </w:tc>
      </w:tr>
      <w:tr w:rsidR="00D706EE" w:rsidRPr="00822530" w14:paraId="3FAF2ACD" w14:textId="77777777" w:rsidTr="00506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908" w:type="dxa"/>
          </w:tcPr>
          <w:p w14:paraId="3F43FE5A" w14:textId="21F7DC3A" w:rsidR="00D706EE" w:rsidRPr="00822530" w:rsidRDefault="001946C9" w:rsidP="001F408C">
            <w:pPr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Estimated</w:t>
            </w:r>
            <w:r w:rsidR="00C54ED8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by</w:t>
            </w: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 xml:space="preserve"> </w:t>
            </w:r>
            <w:r w:rsidR="00822530"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April 2027</w:t>
            </w:r>
          </w:p>
        </w:tc>
        <w:tc>
          <w:tcPr>
            <w:tcW w:w="9730" w:type="dxa"/>
          </w:tcPr>
          <w:p w14:paraId="2E81ABF9" w14:textId="7C4DA55F" w:rsidR="00D706EE" w:rsidRPr="004C3B2B" w:rsidRDefault="00D706EE" w:rsidP="004C3B2B">
            <w:pPr>
              <w:contextualSpacing/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</w:pPr>
            <w:r w:rsidRPr="00822530">
              <w:rPr>
                <w:rFonts w:eastAsia="Times New Roman" w:cstheme="minorHAnsi"/>
                <w:color w:val="2E74B5" w:themeColor="accent1" w:themeShade="BF"/>
                <w:kern w:val="24"/>
                <w:sz w:val="24"/>
                <w:szCs w:val="24"/>
              </w:rPr>
              <w:t>Finalize risk management rule(s) for any unreasonable risk determinations found in the final risk evaluation</w:t>
            </w:r>
          </w:p>
        </w:tc>
      </w:tr>
    </w:tbl>
    <w:p w14:paraId="5A7CC083" w14:textId="77777777" w:rsidR="006A40D5" w:rsidRDefault="006A40D5"/>
    <w:sectPr w:rsidR="006A40D5" w:rsidSect="00FF1914">
      <w:headerReference w:type="default" r:id="rId10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FF81" w14:textId="77777777" w:rsidR="00AD113B" w:rsidRDefault="00AD113B" w:rsidP="001F408C">
      <w:pPr>
        <w:spacing w:after="0" w:line="240" w:lineRule="auto"/>
      </w:pPr>
      <w:r>
        <w:separator/>
      </w:r>
    </w:p>
  </w:endnote>
  <w:endnote w:type="continuationSeparator" w:id="0">
    <w:p w14:paraId="532195B2" w14:textId="77777777" w:rsidR="00AD113B" w:rsidRDefault="00AD113B" w:rsidP="001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85CC" w14:textId="77777777" w:rsidR="00AD113B" w:rsidRDefault="00AD113B" w:rsidP="001F408C">
      <w:pPr>
        <w:spacing w:after="0" w:line="240" w:lineRule="auto"/>
      </w:pPr>
      <w:r>
        <w:separator/>
      </w:r>
    </w:p>
  </w:footnote>
  <w:footnote w:type="continuationSeparator" w:id="0">
    <w:p w14:paraId="1BFAA0D7" w14:textId="77777777" w:rsidR="00AD113B" w:rsidRDefault="00AD113B" w:rsidP="001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C088" w14:textId="039CC67E" w:rsidR="001F408C" w:rsidRPr="00A96CCF" w:rsidRDefault="00A96CCF" w:rsidP="001F408C">
    <w:pPr>
      <w:pStyle w:val="Header"/>
      <w:jc w:val="center"/>
      <w:rPr>
        <w:b/>
        <w:sz w:val="44"/>
        <w:szCs w:val="44"/>
      </w:rPr>
    </w:pPr>
    <w:r w:rsidRPr="00A96CCF">
      <w:rPr>
        <w:b/>
        <w:sz w:val="44"/>
        <w:szCs w:val="44"/>
      </w:rPr>
      <w:t>TSCA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4D0"/>
    <w:multiLevelType w:val="hybridMultilevel"/>
    <w:tmpl w:val="48D45CDC"/>
    <w:lvl w:ilvl="0" w:tplc="B9742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EC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B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E2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3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8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61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C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E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67B91"/>
    <w:multiLevelType w:val="hybridMultilevel"/>
    <w:tmpl w:val="5668590A"/>
    <w:lvl w:ilvl="0" w:tplc="7046C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6F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07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AC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69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06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CB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D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F6040"/>
    <w:multiLevelType w:val="hybridMultilevel"/>
    <w:tmpl w:val="347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4E2"/>
    <w:multiLevelType w:val="hybridMultilevel"/>
    <w:tmpl w:val="1F7A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0552"/>
    <w:multiLevelType w:val="hybridMultilevel"/>
    <w:tmpl w:val="816A4350"/>
    <w:lvl w:ilvl="0" w:tplc="E2102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A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4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E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8C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6D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64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40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E0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4E4395"/>
    <w:multiLevelType w:val="hybridMultilevel"/>
    <w:tmpl w:val="EC0E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3B5F"/>
    <w:multiLevelType w:val="hybridMultilevel"/>
    <w:tmpl w:val="D8E0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09F0"/>
    <w:multiLevelType w:val="hybridMultilevel"/>
    <w:tmpl w:val="CE1A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46DE"/>
    <w:multiLevelType w:val="hybridMultilevel"/>
    <w:tmpl w:val="EB385732"/>
    <w:lvl w:ilvl="0" w:tplc="898C2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6C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E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02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C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60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E5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C3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40634D"/>
    <w:multiLevelType w:val="hybridMultilevel"/>
    <w:tmpl w:val="A48893C6"/>
    <w:lvl w:ilvl="0" w:tplc="938CD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0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E4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4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A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67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6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E2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534A14"/>
    <w:multiLevelType w:val="hybridMultilevel"/>
    <w:tmpl w:val="5C26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14163"/>
    <w:multiLevelType w:val="hybridMultilevel"/>
    <w:tmpl w:val="8364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94E28"/>
    <w:multiLevelType w:val="hybridMultilevel"/>
    <w:tmpl w:val="13A8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85785"/>
    <w:multiLevelType w:val="hybridMultilevel"/>
    <w:tmpl w:val="C0E6E78E"/>
    <w:lvl w:ilvl="0" w:tplc="F594F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60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CD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0B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0B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E8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2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A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08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E84E61"/>
    <w:multiLevelType w:val="hybridMultilevel"/>
    <w:tmpl w:val="46C0AAB4"/>
    <w:lvl w:ilvl="0" w:tplc="4894C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D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C9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2D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C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06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C2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E3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88557952">
    <w:abstractNumId w:val="1"/>
  </w:num>
  <w:num w:numId="2" w16cid:durableId="148447455">
    <w:abstractNumId w:val="0"/>
  </w:num>
  <w:num w:numId="3" w16cid:durableId="2104106849">
    <w:abstractNumId w:val="9"/>
  </w:num>
  <w:num w:numId="4" w16cid:durableId="1349794198">
    <w:abstractNumId w:val="8"/>
  </w:num>
  <w:num w:numId="5" w16cid:durableId="85350342">
    <w:abstractNumId w:val="4"/>
  </w:num>
  <w:num w:numId="6" w16cid:durableId="1359893318">
    <w:abstractNumId w:val="13"/>
  </w:num>
  <w:num w:numId="7" w16cid:durableId="315571338">
    <w:abstractNumId w:val="14"/>
  </w:num>
  <w:num w:numId="8" w16cid:durableId="996768960">
    <w:abstractNumId w:val="12"/>
  </w:num>
  <w:num w:numId="9" w16cid:durableId="522130090">
    <w:abstractNumId w:val="11"/>
  </w:num>
  <w:num w:numId="10" w16cid:durableId="1663041758">
    <w:abstractNumId w:val="3"/>
  </w:num>
  <w:num w:numId="11" w16cid:durableId="1714160810">
    <w:abstractNumId w:val="5"/>
  </w:num>
  <w:num w:numId="12" w16cid:durableId="920485233">
    <w:abstractNumId w:val="6"/>
  </w:num>
  <w:num w:numId="13" w16cid:durableId="2083596320">
    <w:abstractNumId w:val="7"/>
  </w:num>
  <w:num w:numId="14" w16cid:durableId="1289363052">
    <w:abstractNumId w:val="2"/>
  </w:num>
  <w:num w:numId="15" w16cid:durableId="88279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8C"/>
    <w:rsid w:val="00071F9F"/>
    <w:rsid w:val="001946C9"/>
    <w:rsid w:val="001F408C"/>
    <w:rsid w:val="002075AC"/>
    <w:rsid w:val="00282BD7"/>
    <w:rsid w:val="003A4D8C"/>
    <w:rsid w:val="003F7E7F"/>
    <w:rsid w:val="00464CA8"/>
    <w:rsid w:val="004B3975"/>
    <w:rsid w:val="004C3B2B"/>
    <w:rsid w:val="004C4CBD"/>
    <w:rsid w:val="00506CD6"/>
    <w:rsid w:val="005458F5"/>
    <w:rsid w:val="00584FF4"/>
    <w:rsid w:val="005E5D0F"/>
    <w:rsid w:val="006453C3"/>
    <w:rsid w:val="006A40D5"/>
    <w:rsid w:val="006B718D"/>
    <w:rsid w:val="00765C1D"/>
    <w:rsid w:val="007B1EE4"/>
    <w:rsid w:val="007F1E29"/>
    <w:rsid w:val="00822530"/>
    <w:rsid w:val="008C36DD"/>
    <w:rsid w:val="00996971"/>
    <w:rsid w:val="009A5137"/>
    <w:rsid w:val="009F557E"/>
    <w:rsid w:val="00A86077"/>
    <w:rsid w:val="00A96CCF"/>
    <w:rsid w:val="00AD113B"/>
    <w:rsid w:val="00AE06B0"/>
    <w:rsid w:val="00BC3E26"/>
    <w:rsid w:val="00BC66F2"/>
    <w:rsid w:val="00C54ED8"/>
    <w:rsid w:val="00C63FB3"/>
    <w:rsid w:val="00C83FAB"/>
    <w:rsid w:val="00CA3471"/>
    <w:rsid w:val="00D706EE"/>
    <w:rsid w:val="00D93B5B"/>
    <w:rsid w:val="00DA6569"/>
    <w:rsid w:val="00DF6C21"/>
    <w:rsid w:val="00DF7713"/>
    <w:rsid w:val="00E57A99"/>
    <w:rsid w:val="00F04CAD"/>
    <w:rsid w:val="00F5307C"/>
    <w:rsid w:val="00F96930"/>
    <w:rsid w:val="00FE0AA9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C05A"/>
  <w15:chartTrackingRefBased/>
  <w15:docId w15:val="{CEF86F6A-8DB9-429F-9475-C0AF4E9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8C"/>
  </w:style>
  <w:style w:type="paragraph" w:styleId="Footer">
    <w:name w:val="footer"/>
    <w:basedOn w:val="Normal"/>
    <w:link w:val="FooterChar"/>
    <w:uiPriority w:val="99"/>
    <w:unhideWhenUsed/>
    <w:rsid w:val="001F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8C"/>
  </w:style>
  <w:style w:type="table" w:styleId="PlainTable5">
    <w:name w:val="Plain Table 5"/>
    <w:basedOn w:val="TableNormal"/>
    <w:uiPriority w:val="45"/>
    <w:rsid w:val="007F1E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7F1E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4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 xmlns="1915bbf0-f871-47a8-a167-5e6025e2f9c1" xsi:nil="true"/>
    <ReceivedTime xmlns="1915bbf0-f871-47a8-a167-5e6025e2f9c1" xsi:nil="true"/>
    <Recipients xmlns="1915bbf0-f871-47a8-a167-5e6025e2f9c1" xsi:nil="true"/>
    <Comments xmlns="1915bbf0-f871-47a8-a167-5e6025e2f9c1" xsi:nil="true"/>
    <TaxCatchAll xmlns="2984fb4d-1d3c-47bd-ac4f-4f447c02078a" xsi:nil="true"/>
    <SharedWithUsers xmlns="1915bbf0-f871-47a8-a167-5e6025e2f9c1">
      <UserInfo>
        <DisplayName/>
        <AccountId xsi:nil="true"/>
        <AccountType/>
      </UserInfo>
    </SharedWithUsers>
    <lcf76f155ced4ddcb4097134ff3c332f xmlns="1915bbf0-f871-47a8-a167-5e6025e2f9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803E0F458534CB5FD0289BC5C25C0" ma:contentTypeVersion="19" ma:contentTypeDescription="Create a new document." ma:contentTypeScope="" ma:versionID="c94ac881a1ebdc06178dbe0a7d6a1c0e">
  <xsd:schema xmlns:xsd="http://www.w3.org/2001/XMLSchema" xmlns:xs="http://www.w3.org/2001/XMLSchema" xmlns:p="http://schemas.microsoft.com/office/2006/metadata/properties" xmlns:ns2="1915bbf0-f871-47a8-a167-5e6025e2f9c1" xmlns:ns3="2984fb4d-1d3c-47bd-ac4f-4f447c02078a" targetNamespace="http://schemas.microsoft.com/office/2006/metadata/properties" ma:root="true" ma:fieldsID="7e3811cb30f5f443167fe3c28c552153" ns2:_="" ns3:_="">
    <xsd:import namespace="1915bbf0-f871-47a8-a167-5e6025e2f9c1"/>
    <xsd:import namespace="2984fb4d-1d3c-47bd-ac4f-4f447c02078a"/>
    <xsd:element name="properties">
      <xsd:complexType>
        <xsd:sequence>
          <xsd:element name="documentManagement">
            <xsd:complexType>
              <xsd:all>
                <xsd:element ref="ns2:ReceivedTime" minOccurs="0"/>
                <xsd:element ref="ns2:From" minOccurs="0"/>
                <xsd:element ref="ns2:Recipients" minOccurs="0"/>
                <xsd:element ref="ns2:SharedWithUser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bbf0-f871-47a8-a167-5e6025e2f9c1" elementFormDefault="qualified">
    <xsd:import namespace="http://schemas.microsoft.com/office/2006/documentManagement/types"/>
    <xsd:import namespace="http://schemas.microsoft.com/office/infopath/2007/PartnerControls"/>
    <xsd:element name="ReceivedTime" ma:index="8" nillable="true" ma:displayName="ReceivedTime" ma:format="DateTime" ma:internalName="ReceivedTime" ma:readOnly="false">
      <xsd:simpleType>
        <xsd:restriction base="dms:DateTime"/>
      </xsd:simpleType>
    </xsd:element>
    <xsd:element name="From" ma:index="9" nillable="true" ma:displayName="From" ma:internalName="From" ma:readOnly="false">
      <xsd:simpleType>
        <xsd:restriction base="dms:Text"/>
      </xsd:simpleType>
    </xsd:element>
    <xsd:element name="Recipients" ma:index="10" nillable="true" ma:displayName="Recipients" ma:internalName="Recipients" ma:readOnly="false">
      <xsd:simpleType>
        <xsd:restriction base="dms:Text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7d7fe6-3fde-426a-9e88-00508a807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4fb4d-1d3c-47bd-ac4f-4f447c0207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9c4f69-ee4d-4b3d-a9ad-4325d23f95b2}" ma:internalName="TaxCatchAll" ma:showField="CatchAllData" ma:web="2984fb4d-1d3c-47bd-ac4f-4f447c020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ABA7A-9FEE-46A3-B2DA-6958DC7E4AAA}">
  <ds:schemaRefs>
    <ds:schemaRef ds:uri="http://schemas.microsoft.com/office/2006/metadata/properties"/>
    <ds:schemaRef ds:uri="http://schemas.microsoft.com/office/infopath/2007/PartnerControls"/>
    <ds:schemaRef ds:uri="1915bbf0-f871-47a8-a167-5e6025e2f9c1"/>
    <ds:schemaRef ds:uri="2984fb4d-1d3c-47bd-ac4f-4f447c02078a"/>
  </ds:schemaRefs>
</ds:datastoreItem>
</file>

<file path=customXml/itemProps2.xml><?xml version="1.0" encoding="utf-8"?>
<ds:datastoreItem xmlns:ds="http://schemas.openxmlformats.org/officeDocument/2006/customXml" ds:itemID="{834B7F18-9DE1-4E95-8188-7F3E21404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8CF97-6944-4406-9E0B-1C68A7EA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bbf0-f871-47a8-a167-5e6025e2f9c1"/>
    <ds:schemaRef ds:uri="2984fb4d-1d3c-47bd-ac4f-4f447c020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1568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Kimberly</dc:creator>
  <cp:keywords/>
  <dc:description/>
  <cp:lastModifiedBy>Rickmers, Corey</cp:lastModifiedBy>
  <cp:revision>3</cp:revision>
  <cp:lastPrinted>2026-02-03T15:53:00Z</cp:lastPrinted>
  <dcterms:created xsi:type="dcterms:W3CDTF">2026-03-03T19:09:00Z</dcterms:created>
  <dcterms:modified xsi:type="dcterms:W3CDTF">2026-03-03T19:09:00Z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0x010100726803E0F458534CB5FD0289BC5C25C0</vt:lpwstr>
  </property>
  <property fmtid="{D5CDD505-2E9C-101B-9397-08002B2CF9AE}" pid="3" name="MediaServiceImageTags">
    <vt:lpwstr/>
  </property>
</Properties>
</file>